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F" w:rsidRPr="000045CF" w:rsidRDefault="000045CF" w:rsidP="000045CF">
      <w:pPr>
        <w:spacing w:after="160"/>
        <w:jc w:val="center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0"/>
          <w:szCs w:val="20"/>
        </w:rPr>
      </w:pPr>
      <w:bookmarkStart w:id="0" w:name="_GoBack"/>
      <w:bookmarkEnd w:id="0"/>
      <w:r w:rsidRPr="000045CF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0"/>
          <w:szCs w:val="20"/>
        </w:rPr>
        <w:t>VERBALE  COLLEGIO  DOCENTI</w:t>
      </w:r>
    </w:p>
    <w:p w:rsidR="000045CF" w:rsidRPr="000045CF" w:rsidRDefault="000045CF" w:rsidP="000045CF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>a. s. 2016/ 2017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de-DE"/>
        </w:rPr>
        <w:tab/>
        <w:t>VERBALE N °  7</w:t>
      </w:r>
    </w:p>
    <w:p w:rsidR="000045CF" w:rsidRPr="000045CF" w:rsidRDefault="000045CF" w:rsidP="000045CF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Il giorno 10/04/17 alle ore 18.30, nei locali della Scuola Secondaria di II grado, regolarmente convocato, si è riunito il Collegio dei docenti</w:t>
      </w:r>
    </w:p>
    <w:p w:rsidR="000045CF" w:rsidRPr="000045CF" w:rsidRDefault="000045CF" w:rsidP="000045CF">
      <w:pPr>
        <w:spacing w:after="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X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sym w:font="Wingdings" w:char="F072"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della scuola dell’infanzia  X 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sym w:font="Wingdings" w:char="F072"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della  scuola primaria X 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sym w:font="Wingdings" w:char="F072"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della scuola Secondaria di I Grado  X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sym w:font="Wingdings" w:char="F072"/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della Scuola Secondaria di II Grado.</w:t>
      </w:r>
    </w:p>
    <w:p w:rsidR="000045CF" w:rsidRPr="000045CF" w:rsidRDefault="000045CF" w:rsidP="00004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45CF" w:rsidRPr="000045CF" w:rsidRDefault="000045CF" w:rsidP="00004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O.d.G.</w:t>
      </w:r>
      <w:proofErr w:type="spellEnd"/>
    </w:p>
    <w:p w:rsidR="000045CF" w:rsidRPr="000045CF" w:rsidRDefault="000045CF" w:rsidP="00004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Lettura e approvazione del verbale della seduta precedente;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Certificazione delle competenze al termine della Scuola Primaria: delibera; 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Certificazione delle competenze al termine del Primo ciclo di istruzione: delibera; 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Progetti proposti da Enti esterni: delibera;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Partecipazione a concorsi allievi indirizzo musicale: delibera;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Progetto 25° anniversario della strage di Capaci e Via D’Amelio: delibera partecipazione;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Funzione strumentale Area 3A: proposta di nuova attribuzione ed eventuale delibera;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Individuazione Responsabili di plesso Liceo Scientifico: delibera;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Individuazione componente comitato tecnico scientifico ASL: delibera;</w:t>
      </w:r>
    </w:p>
    <w:p w:rsidR="000045CF" w:rsidRPr="000045CF" w:rsidRDefault="000045CF" w:rsidP="000045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5CF">
        <w:rPr>
          <w:rFonts w:ascii="Times New Roman" w:eastAsia="Times New Roman" w:hAnsi="Times New Roman" w:cs="Times New Roman"/>
          <w:sz w:val="20"/>
          <w:szCs w:val="20"/>
          <w:lang w:eastAsia="it-IT"/>
        </w:rPr>
        <w:t>Comunicazioni del D.S.</w:t>
      </w:r>
    </w:p>
    <w:p w:rsidR="000045CF" w:rsidRPr="000045CF" w:rsidRDefault="000045CF" w:rsidP="00004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45CF" w:rsidRPr="000045CF" w:rsidRDefault="000045CF" w:rsidP="000045CF">
      <w:pPr>
        <w:spacing w:after="16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Risultano assenti giustificati per la </w:t>
      </w:r>
    </w:p>
    <w:p w:rsidR="000045CF" w:rsidRPr="000045CF" w:rsidRDefault="000045CF" w:rsidP="00004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Scuola dell’infanzia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:</w:t>
      </w:r>
    </w:p>
    <w:p w:rsidR="000045CF" w:rsidRPr="000045CF" w:rsidRDefault="000045CF" w:rsidP="00004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Scuola Primaria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Chianetta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Giuseppina, Ferrara Tania Silvana, Marino Serafina,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Mezzapelle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Maria,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Scozzari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Concetta,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Bruccoleri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Maria, Gentile Ivana,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Giarratano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Rosetta;</w:t>
      </w:r>
    </w:p>
    <w:p w:rsidR="000045CF" w:rsidRPr="000045CF" w:rsidRDefault="000045CF" w:rsidP="00004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Scuola Sec. di I grado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: Bordonaro Giuseppe,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Brischetto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Rosalia Antonella, Consiglio Grazia, Contrino Salvatore, De Giorgi Domenica Giuseppa,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Gaglio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Silvia, Porretta Giuseppe, Rosato Maria Chiara,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Sardone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Anna,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Scerra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Rosalia, Piazza Margherita;</w:t>
      </w:r>
    </w:p>
    <w:p w:rsidR="000045CF" w:rsidRPr="000045CF" w:rsidRDefault="000045CF" w:rsidP="00004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Scuola Sec. di II grado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: Abissi Clelia,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Cammilleri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Davide, Cimino Giovanni, De Giorgi Domenica Giuseppa, Di Stefano Anna Maria, Fazio Maria Giovanna, Di Salvo Stefania, Galluzzo Fabio,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Limblici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Anna, Russo Lidia, Sciabica Giada, Simone Vullo Giancarlo, Sica Maria,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Tropia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Rosaria Daniela, Tomasello Patrizia.</w:t>
      </w:r>
    </w:p>
    <w:p w:rsidR="000045CF" w:rsidRPr="000045CF" w:rsidRDefault="000045CF" w:rsidP="000045CF">
      <w:pPr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0045CF" w:rsidRPr="000045CF" w:rsidRDefault="000045CF" w:rsidP="000045CF">
      <w:pPr>
        <w:spacing w:after="16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Presiede il Dirigente Scolastico coadiuvato con funzioni di segretario dall’insegnante Elisabetta Cappello. Vengono rilevate le presenze e le assenze tramite l’allegato foglio firma (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all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n.1), che è parte integrante del presente verbale.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u w:val="single"/>
        </w:rPr>
      </w:pPr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>1°punto all’</w:t>
      </w:r>
      <w:proofErr w:type="spellStart"/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>odg</w:t>
      </w:r>
      <w:proofErr w:type="spellEnd"/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 xml:space="preserve">: </w:t>
      </w:r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u w:val="single"/>
        </w:rPr>
        <w:t>aggiunta punti all’o.d.g.</w:t>
      </w:r>
    </w:p>
    <w:p w:rsidR="000045CF" w:rsidRPr="000045CF" w:rsidRDefault="000045CF" w:rsidP="000045CF">
      <w:pPr>
        <w:spacing w:after="16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Il D.S. chiede la possibilità di aggiungere tre punti all’ordine del giorno: regolamento esami di qualifica classe terza alberghiero; adesione generale alle azioni del Programma Operativo Nazionale “Per la Scuola 2014-2020” nell’ambito dell’Avviso Quadro 950/2017;  Laboratorio espressivo-emotivo.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Il Collegio dei docenti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APPROVA E DELIBERA</w:t>
      </w:r>
    </w:p>
    <w:p w:rsidR="000045CF" w:rsidRDefault="000045CF" w:rsidP="000045CF">
      <w:pPr>
        <w:spacing w:after="16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L’aggiunta dei nuovi punti all’o.d.g.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u w:val="single"/>
        </w:rPr>
      </w:pPr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>2°punto all’</w:t>
      </w:r>
      <w:proofErr w:type="spellStart"/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>odg</w:t>
      </w:r>
      <w:proofErr w:type="spellEnd"/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</w:rPr>
        <w:t xml:space="preserve">: </w:t>
      </w:r>
      <w:r w:rsidRPr="000045CF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u w:val="single"/>
        </w:rPr>
        <w:t>Lettura e approvazione del verbale precedente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Accertata la presenza del numero legale e valutata la regolarità della seduta, il Collegio dei docenti ascolta la lettura del verbale della seduta precedente (17/02/2017) da parte della Prof.ssa Elisabetta Cappello. 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Il Collegio dei docenti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APPROVA E DELIBERA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all’unanimità il verbale  della seduta del 17/02/17.</w:t>
      </w:r>
    </w:p>
    <w:p w:rsidR="000045CF" w:rsidRPr="000045CF" w:rsidRDefault="000045CF" w:rsidP="000045CF">
      <w:pPr>
        <w:spacing w:after="160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OMISSIS</w:t>
      </w:r>
    </w:p>
    <w:p w:rsidR="000045CF" w:rsidRPr="000045CF" w:rsidRDefault="000045CF" w:rsidP="000045CF">
      <w:pPr>
        <w:spacing w:after="160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</w:rPr>
      </w:pP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12° punto all’o.d.g.:</w:t>
      </w:r>
      <w:r w:rsidRPr="000045CF">
        <w:rPr>
          <w:rFonts w:eastAsiaTheme="minorEastAsia"/>
          <w:color w:val="000000" w:themeColor="text1"/>
        </w:rPr>
        <w:t xml:space="preserve"> </w:t>
      </w:r>
      <w:r w:rsidRPr="000045C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</w:rPr>
        <w:t>Adesione generale alle azioni del (PON) Programma Operativo Nazionale 2014-2020</w:t>
      </w:r>
    </w:p>
    <w:p w:rsidR="000045CF" w:rsidRPr="000045CF" w:rsidRDefault="000045CF" w:rsidP="000045CF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Il Dirigente Scolastico comunica ai docenti del collegio che, in riferimento al Programma Operativo Nazionale 2014/2020, il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Miur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ha presentato un piano in 10 azioni e filoni di intervento che andranno a rafforzare le competenze di studentesse e studenti , renderanno la scuola più innovativa, inclusiva ed aperta al territorio e favoriranno la riduzione della dispersione scolastica. Viene illustrata  la nota MIUR </w:t>
      </w:r>
      <w:proofErr w:type="spellStart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prot</w:t>
      </w:r>
      <w:proofErr w:type="spellEnd"/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950 del 31/01/2017 – Avviso Quadro sulle azioni da attivare a valere sul PON “PER LA SCUOLA” 2014-2020, che prevede la pubblicazione di 10 avvisi  pubblici che  promuoveranno,  con  strumenti  e  modalità  differenti,  approcci metodologici innovativi nella costruzione delle proposte progettuali da parte delle scuole. Il D.S. riferisce che alcuni tra gli avvisi già pubblicati, quelli relativi all’orientamento, alla cittadinanza e creatività digitale,  alla cittadinanza europea e all’alternanza scuola lavoro, risultano molto interessanti per la crescita culturale ed umana dei nostri studenti. Pertanto, occorre deliberare l’adesione</w:t>
      </w:r>
      <w:r w:rsidR="009E5362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generale </w:t>
      </w: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alle azioni del Programma Operativo Nazionale 2014/2020 al fine di poter  presentare le proposte prog</w:t>
      </w:r>
      <w:r w:rsidR="009E5362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ettua</w:t>
      </w:r>
      <w:r w:rsidR="00025CD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li relative agli avvisi</w:t>
      </w:r>
      <w:r w:rsidR="009E5362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di cui sopra.</w:t>
      </w:r>
    </w:p>
    <w:p w:rsidR="000045CF" w:rsidRPr="000045CF" w:rsidRDefault="000045CF" w:rsidP="000045CF">
      <w:pPr>
        <w:tabs>
          <w:tab w:val="left" w:pos="7716"/>
        </w:tabs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</w:rPr>
        <w:t>Il Collegio dei docenti</w:t>
      </w:r>
      <w:r w:rsidR="00E74C37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</w:rPr>
        <w:t>, ascoltata la relazione del D.S e l’intervento della prof.ssa Pavia, dopo ampie discussioni,</w:t>
      </w:r>
    </w:p>
    <w:p w:rsidR="000045CF" w:rsidRPr="000045CF" w:rsidRDefault="000045CF" w:rsidP="000045CF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APPROVA E DELIBERA</w:t>
      </w:r>
    </w:p>
    <w:p w:rsidR="000045CF" w:rsidRDefault="000045CF" w:rsidP="000045CF">
      <w:pPr>
        <w:spacing w:after="16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0045C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L’adesione generale alle azioni del (PON) Programma Operativo Nazionale 2014-2020.</w:t>
      </w:r>
    </w:p>
    <w:p w:rsidR="003962F4" w:rsidRPr="003962F4" w:rsidRDefault="003962F4" w:rsidP="003962F4">
      <w:pPr>
        <w:spacing w:after="160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3962F4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OMISSIS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590"/>
        <w:gridCol w:w="2736"/>
      </w:tblGrid>
      <w:tr w:rsidR="002B5253" w:rsidRPr="002B5253" w:rsidTr="0088750B">
        <w:trPr>
          <w:trHeight w:val="619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  <w:hideMark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525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Redatto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5253" w:rsidRPr="002B5253" w:rsidTr="0092429E">
        <w:trPr>
          <w:jc w:val="center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4596"/>
            </w:tblGrid>
            <w:tr w:rsidR="002B5253" w:rsidRPr="002B5253" w:rsidTr="0092429E">
              <w:tc>
                <w:tcPr>
                  <w:tcW w:w="4595" w:type="dxa"/>
                </w:tcPr>
                <w:p w:rsidR="002B5253" w:rsidRPr="002B5253" w:rsidRDefault="002B5253" w:rsidP="002B5253">
                  <w:pPr>
                    <w:spacing w:after="16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Il Segretario del Collegio                                                                </w:t>
                  </w:r>
                </w:p>
              </w:tc>
              <w:tc>
                <w:tcPr>
                  <w:tcW w:w="4596" w:type="dxa"/>
                </w:tcPr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Il Presidente del Collegio</w:t>
                  </w:r>
                </w:p>
              </w:tc>
            </w:tr>
            <w:tr w:rsidR="002B5253" w:rsidRPr="002B5253" w:rsidTr="0092429E">
              <w:tc>
                <w:tcPr>
                  <w:tcW w:w="4595" w:type="dxa"/>
                </w:tcPr>
                <w:p w:rsidR="002B5253" w:rsidRPr="002B5253" w:rsidRDefault="002B5253" w:rsidP="002B5253">
                  <w:pPr>
                    <w:spacing w:after="16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Prof.ssa Elisabetta Cappello</w:t>
                  </w:r>
                </w:p>
              </w:tc>
              <w:tc>
                <w:tcPr>
                  <w:tcW w:w="4596" w:type="dxa"/>
                </w:tcPr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Dirigente Scolastico</w:t>
                  </w:r>
                </w:p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Prof.ssa Rosanna </w:t>
                  </w:r>
                  <w:proofErr w:type="spellStart"/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Genco</w:t>
                  </w:r>
                  <w:proofErr w:type="spellEnd"/>
                </w:p>
              </w:tc>
            </w:tr>
          </w:tbl>
          <w:p w:rsidR="002B5253" w:rsidRPr="002B5253" w:rsidRDefault="002B5253" w:rsidP="002B5253">
            <w:pPr>
              <w:spacing w:after="16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86050" w:rsidRDefault="00C86050"/>
    <w:p w:rsidR="002B5253" w:rsidRDefault="002B5253" w:rsidP="002B5253">
      <w:pPr>
        <w:spacing w:after="1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</w:rPr>
      </w:pPr>
      <w:r w:rsidRPr="002B5253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</w:rPr>
        <w:t>DELIBERE E DECISIONI DEL COLLEGIO</w:t>
      </w:r>
    </w:p>
    <w:p w:rsidR="000D4AE7" w:rsidRPr="002B5253" w:rsidRDefault="000D4AE7" w:rsidP="002B5253">
      <w:pPr>
        <w:spacing w:after="1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</w:rPr>
        <w:t>OMISSIS</w:t>
      </w:r>
    </w:p>
    <w:p w:rsidR="002B5253" w:rsidRPr="002B5253" w:rsidRDefault="002B5253" w:rsidP="002B5253">
      <w:pPr>
        <w:tabs>
          <w:tab w:val="center" w:pos="4819"/>
          <w:tab w:val="left" w:leader="underscore" w:pos="9638"/>
        </w:tabs>
        <w:spacing w:after="0" w:line="240" w:lineRule="auto"/>
        <w:ind w:right="-142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12° Punto all’</w:t>
      </w:r>
      <w:proofErr w:type="spellStart"/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O.d.G.</w:t>
      </w:r>
      <w:proofErr w:type="spellEnd"/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 - Delibera n. 85</w:t>
      </w:r>
    </w:p>
    <w:p w:rsidR="002B5253" w:rsidRPr="002B5253" w:rsidRDefault="002B5253" w:rsidP="002B5253">
      <w:pPr>
        <w:tabs>
          <w:tab w:val="center" w:pos="4819"/>
          <w:tab w:val="left" w:leader="underscore" w:pos="9638"/>
        </w:tabs>
        <w:spacing w:after="0" w:line="240" w:lineRule="auto"/>
        <w:ind w:right="-142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sym w:font="Wingdings" w:char="0072"/>
      </w:r>
      <w:r w:rsidRPr="002B525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</w:rPr>
        <w:t>a maggioranza</w:t>
      </w:r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 (n. ____ a favore, n. ___ contrari, n. ___ astenuti)                                        X</w:t>
      </w:r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sym w:font="Wingdings" w:char="0072"/>
      </w:r>
      <w:r w:rsidRPr="002B525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</w:rPr>
        <w:t>all’unanimità</w:t>
      </w:r>
    </w:p>
    <w:p w:rsidR="002B5253" w:rsidRPr="002B5253" w:rsidRDefault="002B5253" w:rsidP="002B5253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2B5253" w:rsidRPr="002B5253" w:rsidRDefault="002B5253" w:rsidP="002B5253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2B5253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Il Collegio dei docenti </w:t>
      </w:r>
    </w:p>
    <w:p w:rsidR="003962F4" w:rsidRDefault="003962F4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Sentita la relazione del D.S.;</w:t>
      </w:r>
    </w:p>
    <w:p w:rsidR="003962F4" w:rsidRDefault="003962F4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Ascoltato l’intervento della prof.ssa Pavia</w:t>
      </w:r>
      <w:r w:rsidR="00D7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Giuseppina;</w:t>
      </w:r>
    </w:p>
    <w:p w:rsidR="002B5253" w:rsidRP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Vista la nota MIUR 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. 950 del 31/01/2017;</w:t>
      </w:r>
    </w:p>
    <w:p w:rsidR="002B5253" w:rsidRP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Visto l’Avviso 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. 3781 del 05 aprile 2017 che intende qualificare i percorsi di alternanza scuola-lavoro e prevede lo sviluppo di percorsi rivolti a studentesse e a studenti del III, IV e V anno delle scuole secondarie di secondo grado, nonché alle studentesse e agli studenti degli Istituti Tecnici Superiori (ITS);</w:t>
      </w:r>
    </w:p>
    <w:p w:rsidR="002B5253" w:rsidRP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Visto l’Avviso 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. 3504 del 31 marzo 2017 che si inserisce nel quadro di azioni finalizzate al potenziamento della Cittadinanza europea di studentesse e studenti, attraverso la conoscenza, la consapevolezza e la riflessione intorno all'idea di Europa e di Unione Europea;</w:t>
      </w:r>
    </w:p>
    <w:p w:rsidR="002B5253" w:rsidRP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Visto l’Avviso 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. 2669 del 03 marzo 2017 che pone l’attenzione sulle competenze digitali, sempre più riconosciute come requisito fondamentale per lo sviluppo sostenibile del nostro Paese e per l’esercizio di una piena cittadinanza nell’era dell’informazione;</w:t>
      </w:r>
    </w:p>
    <w:p w:rsidR="002B5253" w:rsidRP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Visto l’Avviso 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Prot</w:t>
      </w:r>
      <w:proofErr w:type="spellEnd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. 2999 del 13 marzo 2017 che si inserisce nel quadro di azioni di orientamento, di continuità e di sostegno alle scelte dei percorsi formativi delle Istituzioni scolastiche di I e II Ciclo;</w:t>
      </w:r>
    </w:p>
    <w:p w:rsidR="002B5253" w:rsidRDefault="002B5253" w:rsidP="002B5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Considerato che gli avvisi da attivare promuovono lo sviluppo delle competenze essenziali a favorire l'equità, la coesione sociale e la cittadinanza attiva, nonché l'</w:t>
      </w:r>
      <w:proofErr w:type="spellStart"/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occu</w:t>
      </w:r>
      <w:r w:rsidR="00D72769">
        <w:rPr>
          <w:rFonts w:ascii="Times New Roman" w:eastAsia="Times New Roman" w:hAnsi="Times New Roman" w:cs="Times New Roman"/>
          <w:sz w:val="20"/>
          <w:szCs w:val="20"/>
          <w:lang w:eastAsia="it-IT"/>
        </w:rPr>
        <w:t>pabilità</w:t>
      </w:r>
      <w:proofErr w:type="spellEnd"/>
      <w:r w:rsidR="00D7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dei giovani</w:t>
      </w:r>
      <w:r w:rsidRPr="002B5253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2B5253" w:rsidRPr="002B5253" w:rsidRDefault="002B5253" w:rsidP="003962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B5253" w:rsidRPr="002B5253" w:rsidRDefault="002B5253" w:rsidP="002B52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B5253" w:rsidRPr="002B5253" w:rsidRDefault="002B5253" w:rsidP="002B5253">
      <w:pPr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2B525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lastRenderedPageBreak/>
        <w:t>DELIBERA</w:t>
      </w:r>
    </w:p>
    <w:p w:rsidR="002B5253" w:rsidRDefault="002B5253" w:rsidP="002B5253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All’unanimità dei presenti l</w:t>
      </w:r>
      <w:r w:rsidRPr="002B5253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’adesione generale alle azioni del Programma Operativo Nazionale “Per la Scuola 2014-2020” nell’ambito dell’Avviso Quadro 950/2017.</w:t>
      </w:r>
    </w:p>
    <w:p w:rsidR="002B5253" w:rsidRPr="00E65024" w:rsidRDefault="00E65024" w:rsidP="00E65024">
      <w:pPr>
        <w:spacing w:after="160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E65024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OMISSIS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590"/>
        <w:gridCol w:w="2736"/>
      </w:tblGrid>
      <w:tr w:rsidR="002B5253" w:rsidRPr="002B5253" w:rsidTr="0092429E">
        <w:trPr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  <w:hideMark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525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Redatto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B5253" w:rsidRPr="002B5253" w:rsidTr="0092429E">
        <w:trPr>
          <w:jc w:val="center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53" w:rsidRPr="002B5253" w:rsidRDefault="002B5253" w:rsidP="002B5253">
            <w:pPr>
              <w:spacing w:after="1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4596"/>
            </w:tblGrid>
            <w:tr w:rsidR="002B5253" w:rsidRPr="002B5253" w:rsidTr="0092429E">
              <w:tc>
                <w:tcPr>
                  <w:tcW w:w="4595" w:type="dxa"/>
                </w:tcPr>
                <w:p w:rsidR="002B5253" w:rsidRPr="002B5253" w:rsidRDefault="002B5253" w:rsidP="002B525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Il Segretario del Collegio                                                                </w:t>
                  </w:r>
                </w:p>
              </w:tc>
              <w:tc>
                <w:tcPr>
                  <w:tcW w:w="4596" w:type="dxa"/>
                </w:tcPr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Il Presidente del Collegio</w:t>
                  </w:r>
                </w:p>
              </w:tc>
            </w:tr>
            <w:tr w:rsidR="002B5253" w:rsidRPr="002B5253" w:rsidTr="0092429E">
              <w:tc>
                <w:tcPr>
                  <w:tcW w:w="4595" w:type="dxa"/>
                </w:tcPr>
                <w:p w:rsidR="002B5253" w:rsidRPr="002B5253" w:rsidRDefault="002B5253" w:rsidP="002B525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Prof.ssa Elisabetta Cappello</w:t>
                  </w:r>
                </w:p>
              </w:tc>
              <w:tc>
                <w:tcPr>
                  <w:tcW w:w="4596" w:type="dxa"/>
                </w:tcPr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Dirigente Scolastico</w:t>
                  </w:r>
                </w:p>
                <w:p w:rsidR="002B5253" w:rsidRPr="002B5253" w:rsidRDefault="002B5253" w:rsidP="002B5253">
                  <w:pPr>
                    <w:spacing w:after="16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Prof.ssa Rosanna </w:t>
                  </w:r>
                  <w:proofErr w:type="spellStart"/>
                  <w:r w:rsidRPr="002B52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Genco</w:t>
                  </w:r>
                  <w:proofErr w:type="spellEnd"/>
                </w:p>
              </w:tc>
            </w:tr>
          </w:tbl>
          <w:p w:rsidR="002B5253" w:rsidRPr="002B5253" w:rsidRDefault="002B5253" w:rsidP="002B5253">
            <w:pPr>
              <w:spacing w:after="16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B5253" w:rsidRPr="002B5253" w:rsidRDefault="002B5253" w:rsidP="002B5253">
      <w:pPr>
        <w:spacing w:after="1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0D4AE7" w:rsidRPr="000D4AE7" w:rsidRDefault="000D4AE7" w:rsidP="000D4AE7">
      <w:pPr>
        <w:jc w:val="both"/>
        <w:rPr>
          <w:rFonts w:ascii="Bookman Old Style" w:hAnsi="Bookman Old Style"/>
          <w:sz w:val="20"/>
          <w:szCs w:val="20"/>
        </w:rPr>
      </w:pPr>
      <w:r w:rsidRPr="000D4AE7">
        <w:rPr>
          <w:rFonts w:ascii="Bookman Old Style" w:hAnsi="Bookman Old Style"/>
          <w:sz w:val="20"/>
          <w:szCs w:val="20"/>
        </w:rPr>
        <w:t xml:space="preserve">La sottoscritta Rosanna </w:t>
      </w:r>
      <w:proofErr w:type="spellStart"/>
      <w:r w:rsidRPr="000D4AE7">
        <w:rPr>
          <w:rFonts w:ascii="Bookman Old Style" w:hAnsi="Bookman Old Style"/>
          <w:sz w:val="20"/>
          <w:szCs w:val="20"/>
        </w:rPr>
        <w:t>Genco</w:t>
      </w:r>
      <w:proofErr w:type="spellEnd"/>
      <w:r w:rsidRPr="000D4AE7">
        <w:rPr>
          <w:rFonts w:ascii="Bookman Old Style" w:hAnsi="Bookman Old Style"/>
          <w:sz w:val="20"/>
          <w:szCs w:val="20"/>
        </w:rPr>
        <w:t>, nata a Castelvetrano (TP</w:t>
      </w:r>
      <w:r>
        <w:rPr>
          <w:rFonts w:ascii="Bookman Old Style" w:hAnsi="Bookman Old Style"/>
          <w:sz w:val="20"/>
          <w:szCs w:val="20"/>
        </w:rPr>
        <w:t>) il 09/05/1955, in qualità di d</w:t>
      </w:r>
      <w:r w:rsidRPr="000D4AE7">
        <w:rPr>
          <w:rFonts w:ascii="Bookman Old Style" w:hAnsi="Bookman Old Style"/>
          <w:sz w:val="20"/>
          <w:szCs w:val="20"/>
        </w:rPr>
        <w:t>irigente scolastico pro-tempore dell’Istituto Omnicomprensivo “L. Pirandello” di Lampedusa e Linosa, dichiara che il presente estratto di verbale è copia conforme al verbale depositato agli atti di questa Istituzione Scolastica.</w:t>
      </w:r>
    </w:p>
    <w:p w:rsidR="000D4AE7" w:rsidRDefault="000D4AE7" w:rsidP="000D4AE7">
      <w:pPr>
        <w:rPr>
          <w:rFonts w:ascii="Bookman Old Style" w:hAnsi="Bookman Old Style"/>
        </w:rPr>
      </w:pPr>
    </w:p>
    <w:p w:rsidR="000D4AE7" w:rsidRPr="00D86503" w:rsidRDefault="000D4AE7" w:rsidP="000D4AE7">
      <w:pPr>
        <w:spacing w:after="0" w:line="240" w:lineRule="auto"/>
        <w:jc w:val="right"/>
        <w:rPr>
          <w:rFonts w:ascii="Bookman Old Style" w:hAnsi="Bookman Old Style"/>
          <w:b/>
        </w:rPr>
      </w:pPr>
      <w:r w:rsidRPr="00D86503">
        <w:rPr>
          <w:rFonts w:ascii="Bookman Old Style" w:hAnsi="Bookman Old Style"/>
          <w:b/>
        </w:rPr>
        <w:t>Il Dirigente Scolastico</w:t>
      </w:r>
    </w:p>
    <w:p w:rsidR="000D4AE7" w:rsidRPr="00D86503" w:rsidRDefault="000D4AE7" w:rsidP="000D4AE7">
      <w:pPr>
        <w:spacing w:after="0" w:line="240" w:lineRule="auto"/>
        <w:jc w:val="right"/>
        <w:rPr>
          <w:rFonts w:ascii="Bookman Old Style" w:hAnsi="Bookman Old Style"/>
          <w:b/>
        </w:rPr>
      </w:pPr>
      <w:r w:rsidRPr="00D86503">
        <w:rPr>
          <w:rFonts w:ascii="Bookman Old Style" w:hAnsi="Bookman Old Style"/>
          <w:b/>
        </w:rPr>
        <w:t xml:space="preserve">Prof.ssa Rosanna </w:t>
      </w:r>
      <w:proofErr w:type="spellStart"/>
      <w:r w:rsidRPr="00D86503">
        <w:rPr>
          <w:rFonts w:ascii="Bookman Old Style" w:hAnsi="Bookman Old Style"/>
          <w:b/>
        </w:rPr>
        <w:t>Genco</w:t>
      </w:r>
      <w:proofErr w:type="spellEnd"/>
    </w:p>
    <w:p w:rsidR="000D4AE7" w:rsidRPr="00D86503" w:rsidRDefault="000D4AE7" w:rsidP="000D4AE7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D86503">
        <w:rPr>
          <w:rFonts w:ascii="Bookman Old Style" w:hAnsi="Bookman Old Style"/>
          <w:sz w:val="18"/>
          <w:szCs w:val="18"/>
        </w:rPr>
        <w:t>“Firma autografa sostituita 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86503">
        <w:rPr>
          <w:rFonts w:ascii="Bookman Old Style" w:hAnsi="Bookman Old Style"/>
          <w:sz w:val="18"/>
          <w:szCs w:val="18"/>
        </w:rPr>
        <w:t>mezzo stampa ai sensi dell’art. 3, comma 2 del D.Lg. N. 39/93”</w:t>
      </w:r>
    </w:p>
    <w:p w:rsidR="002B5253" w:rsidRDefault="002B5253"/>
    <w:sectPr w:rsidR="002B5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611"/>
    <w:multiLevelType w:val="hybridMultilevel"/>
    <w:tmpl w:val="4A7A7B5C"/>
    <w:lvl w:ilvl="0" w:tplc="A2DC6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C3A"/>
    <w:multiLevelType w:val="hybridMultilevel"/>
    <w:tmpl w:val="DDB4D6C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C6431E"/>
    <w:multiLevelType w:val="hybridMultilevel"/>
    <w:tmpl w:val="1F6A889E"/>
    <w:lvl w:ilvl="0" w:tplc="856C0C1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8F"/>
    <w:rsid w:val="000045CF"/>
    <w:rsid w:val="00025CD1"/>
    <w:rsid w:val="000D4AE7"/>
    <w:rsid w:val="002B5253"/>
    <w:rsid w:val="003962F4"/>
    <w:rsid w:val="0088750B"/>
    <w:rsid w:val="009E5362"/>
    <w:rsid w:val="00A43DA4"/>
    <w:rsid w:val="00C64EB4"/>
    <w:rsid w:val="00C86050"/>
    <w:rsid w:val="00D72769"/>
    <w:rsid w:val="00E65024"/>
    <w:rsid w:val="00E74C37"/>
    <w:rsid w:val="00E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rsid w:val="002B52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rsid w:val="002B52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D22E-CA35-4CEC-BE2C-C694B4E0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proprietario</cp:lastModifiedBy>
  <cp:revision>2</cp:revision>
  <dcterms:created xsi:type="dcterms:W3CDTF">2019-02-18T16:14:00Z</dcterms:created>
  <dcterms:modified xsi:type="dcterms:W3CDTF">2019-02-18T16:14:00Z</dcterms:modified>
</cp:coreProperties>
</file>